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7363" w14:textId="54D9E9BD" w:rsidR="00EE09C1" w:rsidRPr="00C60080" w:rsidRDefault="007A6206" w:rsidP="00EE09C1">
      <w:pPr>
        <w:rPr>
          <w:rFonts w:ascii="Arial" w:hAnsi="Arial" w:cs="Arial"/>
        </w:rPr>
      </w:pPr>
      <w:r w:rsidRPr="00C60080">
        <w:rPr>
          <w:rFonts w:ascii="Arial" w:hAnsi="Arial" w:cs="Arial"/>
        </w:rPr>
        <w:t xml:space="preserve">Ancillary reviews are reviews by other compliance groups or individuals that inform the IRB’s review of a new study or a modification to an existing study. </w:t>
      </w:r>
    </w:p>
    <w:p w14:paraId="3600723C" w14:textId="77777777" w:rsidR="00EE09C1" w:rsidRPr="00C60080" w:rsidRDefault="007A6206" w:rsidP="00EE09C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60080">
        <w:rPr>
          <w:rFonts w:ascii="Arial" w:hAnsi="Arial" w:cs="Arial"/>
        </w:rPr>
        <w:t xml:space="preserve">Ancillary reviews may be assigned by either the researcher or the IRB.  </w:t>
      </w:r>
    </w:p>
    <w:p w14:paraId="4A2B3665" w14:textId="77777777" w:rsidR="00EE09C1" w:rsidRPr="00C60080" w:rsidRDefault="007A6206" w:rsidP="00EE09C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60080">
        <w:rPr>
          <w:rFonts w:ascii="Arial" w:hAnsi="Arial" w:cs="Arial"/>
        </w:rPr>
        <w:t xml:space="preserve">The IRB typically assigns ancillary reviews during the pre-review of a submission.  </w:t>
      </w:r>
    </w:p>
    <w:p w14:paraId="76D2AF48" w14:textId="77777777" w:rsidR="00EE09C1" w:rsidRPr="00EE69B3" w:rsidRDefault="007A6206" w:rsidP="00EE09C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E69B3">
        <w:rPr>
          <w:rFonts w:ascii="Arial" w:hAnsi="Arial" w:cs="Arial"/>
        </w:rPr>
        <w:t xml:space="preserve">Once an ancillary review is triggered, researchers should work directly with those entities to ensure compliance. </w:t>
      </w:r>
    </w:p>
    <w:p w14:paraId="0B9B6142" w14:textId="4B6FC2AD" w:rsidR="007A6206" w:rsidRPr="00CD061A" w:rsidRDefault="007A6206" w:rsidP="00EE09C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D061A">
        <w:rPr>
          <w:rFonts w:ascii="Arial" w:hAnsi="Arial" w:cs="Arial"/>
        </w:rPr>
        <w:t xml:space="preserve">The ancillary review </w:t>
      </w:r>
      <w:r w:rsidR="0046089B">
        <w:rPr>
          <w:rFonts w:ascii="Arial" w:hAnsi="Arial" w:cs="Arial"/>
        </w:rPr>
        <w:t xml:space="preserve">or ‘ad hoc’ review </w:t>
      </w:r>
      <w:r w:rsidRPr="00CD061A">
        <w:rPr>
          <w:rFonts w:ascii="Arial" w:hAnsi="Arial" w:cs="Arial"/>
        </w:rPr>
        <w:t>is intended to support compliance across multiple oversight groups</w:t>
      </w:r>
      <w:r w:rsidR="00EE09C1" w:rsidRPr="00CD061A">
        <w:rPr>
          <w:rFonts w:ascii="Arial" w:hAnsi="Arial" w:cs="Arial"/>
        </w:rPr>
        <w:t xml:space="preserve"> and </w:t>
      </w:r>
      <w:r w:rsidRPr="00CD061A">
        <w:rPr>
          <w:rFonts w:ascii="Arial" w:hAnsi="Arial" w:cs="Arial"/>
        </w:rPr>
        <w:t xml:space="preserve">not replace </w:t>
      </w:r>
      <w:r w:rsidR="00EE09C1" w:rsidRPr="00CD061A">
        <w:rPr>
          <w:rFonts w:ascii="Arial" w:hAnsi="Arial" w:cs="Arial"/>
        </w:rPr>
        <w:t xml:space="preserve">review processes by </w:t>
      </w:r>
      <w:r w:rsidRPr="00CD061A">
        <w:rPr>
          <w:rFonts w:ascii="Arial" w:hAnsi="Arial" w:cs="Arial"/>
        </w:rPr>
        <w:t>other compliance groups</w:t>
      </w:r>
      <w:r w:rsidR="00C60080" w:rsidRPr="00CD061A">
        <w:rPr>
          <w:rFonts w:ascii="Arial" w:hAnsi="Arial" w:cs="Arial"/>
        </w:rPr>
        <w:t xml:space="preserve">. </w:t>
      </w:r>
    </w:p>
    <w:p w14:paraId="62EEDD71" w14:textId="45E0E9F0" w:rsidR="00EE09C1" w:rsidRPr="00C60080" w:rsidRDefault="00EE09C1" w:rsidP="00EE09C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60080">
        <w:rPr>
          <w:rFonts w:ascii="Arial" w:hAnsi="Arial" w:cs="Arial"/>
        </w:rPr>
        <w:t>Ancillary reviews are not assigned by the IRB if a project does not meet the federal definition of Human Subject Research</w:t>
      </w:r>
      <w:r w:rsidR="00B843C8" w:rsidRPr="00C60080">
        <w:rPr>
          <w:rFonts w:ascii="Arial" w:hAnsi="Arial" w:cs="Arial"/>
        </w:rPr>
        <w:t>.</w:t>
      </w:r>
    </w:p>
    <w:p w14:paraId="00B2284C" w14:textId="77777777" w:rsidR="00EE09C1" w:rsidRPr="00EE09C1" w:rsidRDefault="00EE09C1" w:rsidP="00EE09C1">
      <w:pPr>
        <w:pStyle w:val="ListParagraph"/>
        <w:rPr>
          <w:rFonts w:ascii="Arial" w:hAnsi="Arial" w:cs="Arial"/>
        </w:rPr>
      </w:pPr>
    </w:p>
    <w:p w14:paraId="4DC0A2D5" w14:textId="77777777" w:rsidR="00EE09C1" w:rsidRDefault="007A6206" w:rsidP="007A6206">
      <w:pPr>
        <w:rPr>
          <w:rFonts w:ascii="Arial" w:hAnsi="Arial" w:cs="Arial"/>
        </w:rPr>
      </w:pPr>
      <w:r w:rsidRPr="006E390D">
        <w:rPr>
          <w:rFonts w:ascii="Arial" w:hAnsi="Arial" w:cs="Arial"/>
        </w:rPr>
        <w:t xml:space="preserve">The impact of an ancillary review group’s approval on the IRB’s review process varies.  </w:t>
      </w:r>
    </w:p>
    <w:p w14:paraId="72339A32" w14:textId="0D40762B" w:rsidR="00EE09C1" w:rsidRDefault="0046089B" w:rsidP="00EE09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7A6206" w:rsidRPr="00EE09C1">
        <w:rPr>
          <w:rFonts w:ascii="Arial" w:hAnsi="Arial" w:cs="Arial"/>
        </w:rPr>
        <w:t xml:space="preserve">, final IRB approval </w:t>
      </w:r>
      <w:r>
        <w:rPr>
          <w:rFonts w:ascii="Arial" w:hAnsi="Arial" w:cs="Arial"/>
        </w:rPr>
        <w:t>may be</w:t>
      </w:r>
      <w:r w:rsidR="007A6206" w:rsidRPr="00EE09C1">
        <w:rPr>
          <w:rFonts w:ascii="Arial" w:hAnsi="Arial" w:cs="Arial"/>
        </w:rPr>
        <w:t xml:space="preserve"> held until the ancillary group concludes their review</w:t>
      </w:r>
      <w:r>
        <w:rPr>
          <w:rFonts w:ascii="Arial" w:hAnsi="Arial" w:cs="Arial"/>
        </w:rPr>
        <w:t xml:space="preserve"> if the ancillary review effects the criteria for approval</w:t>
      </w:r>
      <w:r w:rsidR="007A6206" w:rsidRPr="00EE09C1">
        <w:rPr>
          <w:rFonts w:ascii="Arial" w:hAnsi="Arial" w:cs="Arial"/>
        </w:rPr>
        <w:t xml:space="preserve">. </w:t>
      </w:r>
    </w:p>
    <w:p w14:paraId="40AF6D25" w14:textId="77777777" w:rsidR="00EE09C1" w:rsidRDefault="007A6206" w:rsidP="00EE09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E09C1">
        <w:rPr>
          <w:rFonts w:ascii="Arial" w:hAnsi="Arial" w:cs="Arial"/>
        </w:rPr>
        <w:t>In some instances, the IRB will not initiate its review without documentation of approval by critical review entities.</w:t>
      </w:r>
    </w:p>
    <w:p w14:paraId="4BD76361" w14:textId="3A86A806" w:rsidR="00EE09C1" w:rsidRPr="00CD061A" w:rsidRDefault="0046089B" w:rsidP="00EE09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If d</w:t>
      </w:r>
      <w:r w:rsidR="00EE09C1" w:rsidRPr="00CD061A">
        <w:rPr>
          <w:rFonts w:ascii="Arial" w:hAnsi="Arial" w:cs="Arial"/>
        </w:rPr>
        <w:t>ocumentation of approval by an ancillary review group is provided to the researcher</w:t>
      </w:r>
      <w:r>
        <w:rPr>
          <w:rFonts w:ascii="Arial" w:hAnsi="Arial" w:cs="Arial"/>
        </w:rPr>
        <w:t>, t</w:t>
      </w:r>
      <w:r w:rsidR="00EE09C1" w:rsidRPr="00CD061A">
        <w:rPr>
          <w:rFonts w:ascii="Arial" w:hAnsi="Arial" w:cs="Arial"/>
        </w:rPr>
        <w:t>he researcher is responsible for uploading that documentation in the</w:t>
      </w:r>
      <w:r w:rsidR="00C60080" w:rsidRPr="00CD061A">
        <w:rPr>
          <w:rFonts w:ascii="Arial" w:hAnsi="Arial" w:cs="Arial"/>
        </w:rPr>
        <w:t xml:space="preserve"> IRB</w:t>
      </w:r>
      <w:r w:rsidR="00EE09C1" w:rsidRPr="00CD061A">
        <w:rPr>
          <w:rFonts w:ascii="Arial" w:hAnsi="Arial" w:cs="Arial"/>
        </w:rPr>
        <w:t xml:space="preserve"> application to which it relates</w:t>
      </w:r>
      <w:r w:rsidR="00CF2291" w:rsidRPr="00CD061A">
        <w:rPr>
          <w:rFonts w:ascii="Arial" w:hAnsi="Arial" w:cs="Arial"/>
        </w:rPr>
        <w:t>.</w:t>
      </w:r>
    </w:p>
    <w:p w14:paraId="315BCDD5" w14:textId="77777777" w:rsidR="00265DC0" w:rsidRDefault="00EE09C1" w:rsidP="00EE09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 rare instances</w:t>
      </w:r>
      <w:r w:rsidR="00CF22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either the </w:t>
      </w:r>
      <w:r w:rsidRPr="00EE09C1">
        <w:rPr>
          <w:rFonts w:ascii="Arial" w:hAnsi="Arial" w:cs="Arial"/>
        </w:rPr>
        <w:t xml:space="preserve">ancillary review group or an IRB member may request deviations from the typical </w:t>
      </w:r>
      <w:r>
        <w:rPr>
          <w:rFonts w:ascii="Arial" w:hAnsi="Arial" w:cs="Arial"/>
        </w:rPr>
        <w:t>review path.</w:t>
      </w:r>
      <w:r w:rsidRPr="00EE09C1">
        <w:rPr>
          <w:rFonts w:ascii="Arial" w:hAnsi="Arial" w:cs="Arial"/>
        </w:rPr>
        <w:t xml:space="preserve"> An IRB member may recommend holding a submission until an </w:t>
      </w:r>
      <w:r w:rsidR="00CF2291">
        <w:rPr>
          <w:rFonts w:ascii="Arial" w:hAnsi="Arial" w:cs="Arial"/>
        </w:rPr>
        <w:t xml:space="preserve">ancillary </w:t>
      </w:r>
      <w:r w:rsidRPr="00EE09C1">
        <w:rPr>
          <w:rFonts w:ascii="Arial" w:hAnsi="Arial" w:cs="Arial"/>
        </w:rPr>
        <w:t xml:space="preserve">approval is granted from a key committee </w:t>
      </w:r>
      <w:r w:rsidRPr="00EE09C1">
        <w:rPr>
          <w:rFonts w:ascii="Arial" w:hAnsi="Arial" w:cs="Arial"/>
          <w:b/>
        </w:rPr>
        <w:t>OR</w:t>
      </w:r>
      <w:r w:rsidRPr="00EE09C1">
        <w:rPr>
          <w:rFonts w:ascii="Arial" w:hAnsi="Arial" w:cs="Arial"/>
        </w:rPr>
        <w:t xml:space="preserve"> an ancillary review group may recommend IRB review move forward while a required approval is still pending.</w:t>
      </w:r>
    </w:p>
    <w:p w14:paraId="7380B092" w14:textId="1763F6E3" w:rsidR="007A6206" w:rsidRPr="00EE09C1" w:rsidRDefault="00EE09C1" w:rsidP="00EE09C1">
      <w:pPr>
        <w:rPr>
          <w:rFonts w:ascii="Arial" w:hAnsi="Arial" w:cs="Arial"/>
        </w:rPr>
      </w:pPr>
      <w:r w:rsidRPr="006E390D">
        <w:rPr>
          <w:rFonts w:ascii="Arial" w:hAnsi="Arial" w:cs="Arial"/>
        </w:rPr>
        <w:t xml:space="preserve">The tables below highlight the ancillary review groups available </w:t>
      </w:r>
      <w:r>
        <w:rPr>
          <w:rFonts w:ascii="Arial" w:hAnsi="Arial" w:cs="Arial"/>
        </w:rPr>
        <w:t xml:space="preserve">and illustrates the </w:t>
      </w:r>
      <w:r w:rsidR="007A6206" w:rsidRPr="00EE09C1">
        <w:rPr>
          <w:rFonts w:ascii="Arial" w:hAnsi="Arial" w:cs="Arial"/>
        </w:rPr>
        <w:t>typical impact an ancillary review has on IRB review.</w:t>
      </w:r>
      <w:r>
        <w:rPr>
          <w:rFonts w:ascii="Arial" w:hAnsi="Arial" w:cs="Arial"/>
        </w:rPr>
        <w:t xml:space="preserve"> Please contact </w:t>
      </w:r>
      <w:r w:rsidR="00C60080">
        <w:rPr>
          <w:rFonts w:ascii="Arial" w:hAnsi="Arial" w:cs="Arial"/>
        </w:rPr>
        <w:t>the IRB</w:t>
      </w:r>
      <w:r w:rsidR="00CF2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relevant ancillary review contacts (listed below) with any questions about the ancillary review process or specific requirements. </w:t>
      </w:r>
    </w:p>
    <w:p w14:paraId="2B02C70D" w14:textId="77777777" w:rsidR="006E390D" w:rsidRDefault="006E39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dTable2-Accent2"/>
        <w:tblW w:w="5000" w:type="pct"/>
        <w:tblLook w:val="04A0" w:firstRow="1" w:lastRow="0" w:firstColumn="1" w:lastColumn="0" w:noHBand="0" w:noVBand="1"/>
      </w:tblPr>
      <w:tblGrid>
        <w:gridCol w:w="1979"/>
        <w:gridCol w:w="906"/>
        <w:gridCol w:w="2426"/>
        <w:gridCol w:w="3287"/>
        <w:gridCol w:w="2910"/>
        <w:gridCol w:w="2892"/>
      </w:tblGrid>
      <w:tr w:rsidR="00524326" w:rsidRPr="006E390D" w14:paraId="6D623B4B" w14:textId="77777777" w:rsidTr="00E6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49B1ADC" w14:textId="36190BB9" w:rsidR="00E67661" w:rsidRPr="00B843C8" w:rsidRDefault="00E67661" w:rsidP="00E67661">
            <w:pPr>
              <w:rPr>
                <w:rFonts w:ascii="Arial" w:hAnsi="Arial" w:cs="Arial"/>
                <w:sz w:val="28"/>
                <w:szCs w:val="28"/>
              </w:rPr>
            </w:pPr>
            <w:r w:rsidRPr="00B843C8">
              <w:rPr>
                <w:rFonts w:ascii="Arial" w:hAnsi="Arial" w:cs="Arial"/>
                <w:sz w:val="28"/>
                <w:szCs w:val="28"/>
              </w:rPr>
              <w:lastRenderedPageBreak/>
              <w:t>CO</w:t>
            </w:r>
            <w:r w:rsidR="00E02259">
              <w:rPr>
                <w:rFonts w:ascii="Arial" w:hAnsi="Arial" w:cs="Arial"/>
                <w:sz w:val="28"/>
                <w:szCs w:val="28"/>
              </w:rPr>
              <w:t>NTACT</w:t>
            </w:r>
            <w:r w:rsidRPr="00B843C8">
              <w:rPr>
                <w:rFonts w:ascii="Arial" w:hAnsi="Arial" w:cs="Arial"/>
                <w:sz w:val="28"/>
                <w:szCs w:val="28"/>
              </w:rPr>
              <w:t xml:space="preserve"> PRIOR TO SUBMISSION TO IRB</w:t>
            </w:r>
          </w:p>
        </w:tc>
      </w:tr>
      <w:tr w:rsidR="00C22283" w:rsidRPr="006E390D" w14:paraId="0E71EBA7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6C899020" w14:textId="77777777" w:rsidR="007A6206" w:rsidRPr="000B10F8" w:rsidRDefault="007A6206" w:rsidP="00AD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0F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12" w:type="pct"/>
          </w:tcPr>
          <w:p w14:paraId="746AFA68" w14:textId="77777777" w:rsidR="007A6206" w:rsidRPr="00AD0938" w:rsidRDefault="007A6206" w:rsidP="00AD0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D0938">
              <w:rPr>
                <w:rFonts w:ascii="Arial" w:hAnsi="Arial" w:cs="Arial"/>
                <w:b/>
                <w:sz w:val="20"/>
                <w:szCs w:val="20"/>
              </w:rPr>
              <w:t>Review type</w:t>
            </w:r>
          </w:p>
        </w:tc>
        <w:tc>
          <w:tcPr>
            <w:tcW w:w="843" w:type="pct"/>
          </w:tcPr>
          <w:p w14:paraId="47155F71" w14:textId="38365E6F" w:rsidR="00AD0938" w:rsidRPr="00AD0938" w:rsidRDefault="007B10F1" w:rsidP="00AD0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Ancillary Review</w:t>
            </w:r>
          </w:p>
          <w:p w14:paraId="19FB4F0A" w14:textId="77777777" w:rsidR="007A6206" w:rsidRPr="00AD0938" w:rsidRDefault="007A6206" w:rsidP="00AD0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D0938">
              <w:rPr>
                <w:rFonts w:ascii="Arial" w:hAnsi="Arial" w:cs="Arial"/>
                <w:b/>
                <w:sz w:val="20"/>
                <w:szCs w:val="20"/>
              </w:rPr>
              <w:t>Triggered by</w:t>
            </w:r>
          </w:p>
        </w:tc>
        <w:tc>
          <w:tcPr>
            <w:tcW w:w="1142" w:type="pct"/>
          </w:tcPr>
          <w:p w14:paraId="5913F611" w14:textId="77777777" w:rsidR="00AD0938" w:rsidRPr="00AD0938" w:rsidRDefault="00AD0938" w:rsidP="00ED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D0938">
              <w:rPr>
                <w:rFonts w:ascii="Arial" w:hAnsi="Arial" w:cs="Arial"/>
                <w:b/>
                <w:sz w:val="20"/>
                <w:szCs w:val="20"/>
              </w:rPr>
              <w:t>Affected IRB</w:t>
            </w:r>
          </w:p>
          <w:p w14:paraId="6DD3D64B" w14:textId="77777777" w:rsidR="007A6206" w:rsidRPr="00AD0938" w:rsidRDefault="00AD0938" w:rsidP="00ED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D0938">
              <w:rPr>
                <w:rFonts w:ascii="Arial" w:hAnsi="Arial" w:cs="Arial"/>
                <w:b/>
                <w:sz w:val="20"/>
                <w:szCs w:val="20"/>
              </w:rPr>
              <w:t>Submission Types</w:t>
            </w:r>
          </w:p>
        </w:tc>
        <w:tc>
          <w:tcPr>
            <w:tcW w:w="1010" w:type="pct"/>
          </w:tcPr>
          <w:p w14:paraId="72D0FF91" w14:textId="77777777" w:rsidR="007A6206" w:rsidRPr="00D1067B" w:rsidRDefault="007A6206" w:rsidP="00AD0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1067B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  <w:p w14:paraId="56E9557C" w14:textId="437BFA43" w:rsidR="007A6206" w:rsidRPr="00AD0938" w:rsidRDefault="007A6206" w:rsidP="00AD0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1067B"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  <w:tc>
          <w:tcPr>
            <w:tcW w:w="1005" w:type="pct"/>
          </w:tcPr>
          <w:p w14:paraId="508160F8" w14:textId="77777777" w:rsidR="007A6206" w:rsidRPr="00AD0938" w:rsidRDefault="00AD0938" w:rsidP="00AD0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to Obtain Review</w:t>
            </w:r>
          </w:p>
        </w:tc>
      </w:tr>
      <w:tr w:rsidR="00C22283" w:rsidRPr="00513D3E" w14:paraId="679BEBA8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FFFFFF" w:themeFill="background1"/>
          </w:tcPr>
          <w:p w14:paraId="436A2C2D" w14:textId="58A2D99C" w:rsidR="007A6206" w:rsidRPr="00ED6E89" w:rsidRDefault="00014C34" w:rsidP="00ED6E8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Hlk81493044"/>
            <w:r w:rsidRPr="00ED6E89">
              <w:rPr>
                <w:rFonts w:ascii="Arial" w:hAnsi="Arial" w:cs="Arial"/>
                <w:sz w:val="20"/>
                <w:szCs w:val="20"/>
              </w:rPr>
              <w:t>Export Controls</w:t>
            </w:r>
          </w:p>
        </w:tc>
        <w:tc>
          <w:tcPr>
            <w:tcW w:w="312" w:type="pct"/>
            <w:shd w:val="clear" w:color="auto" w:fill="FFFFFF" w:themeFill="background1"/>
          </w:tcPr>
          <w:p w14:paraId="5B2D9143" w14:textId="6547E7FB" w:rsidR="007A6206" w:rsidRPr="00513D3E" w:rsidRDefault="00014C34" w:rsidP="00AD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  <w:shd w:val="clear" w:color="auto" w:fill="FFFFFF" w:themeFill="background1"/>
          </w:tcPr>
          <w:p w14:paraId="7E2AAC26" w14:textId="1449719D" w:rsidR="007A6206" w:rsidRPr="00513D3E" w:rsidRDefault="00014C34" w:rsidP="00C2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collaborator/activity</w:t>
            </w:r>
          </w:p>
        </w:tc>
        <w:tc>
          <w:tcPr>
            <w:tcW w:w="1142" w:type="pct"/>
            <w:shd w:val="clear" w:color="auto" w:fill="FFFFFF" w:themeFill="background1"/>
          </w:tcPr>
          <w:p w14:paraId="1CC668C8" w14:textId="364EB352" w:rsidR="007A6206" w:rsidRPr="00513D3E" w:rsidRDefault="00014C34" w:rsidP="00ED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</w:t>
            </w:r>
            <w:r w:rsidR="00ED6E8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previously approved research</w:t>
            </w:r>
          </w:p>
        </w:tc>
        <w:tc>
          <w:tcPr>
            <w:tcW w:w="1010" w:type="pct"/>
            <w:shd w:val="clear" w:color="auto" w:fill="FFFFFF" w:themeFill="background1"/>
          </w:tcPr>
          <w:p w14:paraId="30BE317A" w14:textId="77777777" w:rsidR="00756BE9" w:rsidRDefault="00C90F1E" w:rsidP="00C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2C2C"/>
                <w:sz w:val="20"/>
                <w:szCs w:val="20"/>
              </w:rPr>
            </w:pPr>
            <w:hyperlink r:id="rId10" w:history="1">
              <w:r w:rsidRPr="00ED6E89">
                <w:rPr>
                  <w:rFonts w:ascii="Arial" w:hAnsi="Arial" w:cs="Arial"/>
                  <w:color w:val="036288"/>
                  <w:sz w:val="20"/>
                  <w:szCs w:val="20"/>
                  <w:u w:val="single"/>
                  <w:bdr w:val="none" w:sz="0" w:space="0" w:color="auto" w:frame="1"/>
                </w:rPr>
                <w:t>exportcontrols@tamu.edu</w:t>
              </w:r>
            </w:hyperlink>
            <w:r w:rsidRPr="00ED6E89">
              <w:rPr>
                <w:rFonts w:ascii="Arial" w:hAnsi="Arial" w:cs="Arial"/>
                <w:color w:val="332C2C"/>
                <w:sz w:val="20"/>
                <w:szCs w:val="20"/>
              </w:rPr>
              <w:t> </w:t>
            </w:r>
          </w:p>
          <w:p w14:paraId="1F0CDB52" w14:textId="6EFB10BE" w:rsidR="00C90F1E" w:rsidRPr="00ED6E89" w:rsidRDefault="00C90F1E" w:rsidP="00C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6E89">
              <w:rPr>
                <w:rFonts w:ascii="Arial" w:hAnsi="Arial" w:cs="Arial"/>
                <w:color w:val="332C2C"/>
                <w:sz w:val="20"/>
                <w:szCs w:val="20"/>
              </w:rPr>
              <w:t>979.862.6419.</w:t>
            </w:r>
          </w:p>
        </w:tc>
        <w:tc>
          <w:tcPr>
            <w:tcW w:w="1005" w:type="pct"/>
            <w:shd w:val="clear" w:color="auto" w:fill="FFFFFF" w:themeFill="background1"/>
          </w:tcPr>
          <w:p w14:paraId="21D0F035" w14:textId="5B975F51" w:rsidR="002B22B9" w:rsidRPr="00513D3E" w:rsidRDefault="00C90F1E" w:rsidP="00AD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Export Controls Office</w:t>
            </w:r>
          </w:p>
        </w:tc>
      </w:tr>
      <w:bookmarkEnd w:id="0"/>
      <w:tr w:rsidR="00125DBD" w:rsidRPr="00513D3E" w14:paraId="11E8E9C9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3AE82FC1" w14:textId="022BF871" w:rsidR="00D1067B" w:rsidRPr="00513D3E" w:rsidRDefault="00D1067B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787CCACA" w14:textId="51032EEC" w:rsidR="00D1067B" w:rsidRPr="00513D3E" w:rsidRDefault="00D1067B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667C92C1" w14:textId="46449B36" w:rsidR="00D1067B" w:rsidRPr="00513D3E" w:rsidRDefault="00D1067B" w:rsidP="00C2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5416DB31" w14:textId="71257D4B" w:rsidR="00D1067B" w:rsidRPr="00513D3E" w:rsidRDefault="00D1067B" w:rsidP="00ED6E8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BE3C1EB" w14:textId="7EA3E8C3" w:rsidR="00D1067B" w:rsidRPr="00513D3E" w:rsidRDefault="00D1067B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B93030D" w14:textId="476B68E5" w:rsidR="00D1067B" w:rsidRPr="00513D3E" w:rsidRDefault="00D1067B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E9" w:rsidRPr="00513D3E" w14:paraId="7AE84539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46F38F1E" w14:textId="1C7D4340" w:rsidR="00D1067B" w:rsidRPr="00513D3E" w:rsidRDefault="00ED6E89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  <w:r w:rsidR="007B13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afety</w:t>
            </w:r>
            <w:r w:rsidR="003B37B6">
              <w:rPr>
                <w:rFonts w:ascii="Arial" w:hAnsi="Arial" w:cs="Arial"/>
                <w:sz w:val="20"/>
                <w:szCs w:val="20"/>
              </w:rPr>
              <w:t xml:space="preserve"> - IBC</w:t>
            </w:r>
          </w:p>
        </w:tc>
        <w:tc>
          <w:tcPr>
            <w:tcW w:w="312" w:type="pct"/>
          </w:tcPr>
          <w:p w14:paraId="08C63F87" w14:textId="7D2FA108" w:rsidR="00D1067B" w:rsidRPr="00513D3E" w:rsidRDefault="00ED6E89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</w:tcPr>
          <w:p w14:paraId="387FD86A" w14:textId="243137D8" w:rsidR="00D1067B" w:rsidRPr="00513D3E" w:rsidRDefault="00ED6E89" w:rsidP="00C2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of biohazardous materials or recombinantly modified agents</w:t>
            </w:r>
          </w:p>
        </w:tc>
        <w:tc>
          <w:tcPr>
            <w:tcW w:w="1142" w:type="pct"/>
          </w:tcPr>
          <w:p w14:paraId="1B9E2118" w14:textId="401A220A" w:rsidR="00D1067B" w:rsidRPr="00513D3E" w:rsidRDefault="00ED6E89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4E667DD0" w14:textId="77777777" w:rsidR="00756BE9" w:rsidRDefault="00ED6E89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AC3801">
                <w:rPr>
                  <w:rStyle w:val="Hyperlink"/>
                  <w:rFonts w:ascii="Arial" w:hAnsi="Arial" w:cs="Arial"/>
                  <w:sz w:val="20"/>
                  <w:szCs w:val="20"/>
                </w:rPr>
                <w:t>ibc@tamu.edu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684D3E" w14:textId="0B7CD0E4" w:rsidR="00D1067B" w:rsidRPr="00513D3E" w:rsidRDefault="003B37B6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979.862.4549</w:t>
            </w:r>
          </w:p>
        </w:tc>
        <w:tc>
          <w:tcPr>
            <w:tcW w:w="1005" w:type="pct"/>
          </w:tcPr>
          <w:p w14:paraId="68680DDA" w14:textId="1816908F" w:rsidR="00D1067B" w:rsidRPr="00513D3E" w:rsidRDefault="003B37B6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the Biosafety Office</w:t>
            </w:r>
          </w:p>
        </w:tc>
      </w:tr>
      <w:tr w:rsidR="00125DBD" w:rsidRPr="00513D3E" w14:paraId="65D97A0B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3E411CA4" w14:textId="23B7B499" w:rsidR="00D1067B" w:rsidRPr="00513D3E" w:rsidRDefault="00D1067B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62F49239" w14:textId="7F16AB54" w:rsidR="00D1067B" w:rsidRPr="00513D3E" w:rsidRDefault="00D1067B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5B9A7BF5" w14:textId="1A63BB57" w:rsidR="00D1067B" w:rsidRPr="00513D3E" w:rsidRDefault="00D1067B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50924B62" w14:textId="55A79DF6" w:rsidR="00D1067B" w:rsidRPr="00513D3E" w:rsidRDefault="00D1067B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762BF3A" w14:textId="28E0DDBF" w:rsidR="00D1067B" w:rsidRPr="00513D3E" w:rsidRDefault="00D1067B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424ED8A1" w14:textId="67BF16F7" w:rsidR="00D1067B" w:rsidRPr="00513D3E" w:rsidRDefault="00D1067B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83" w:rsidRPr="00513D3E" w14:paraId="7733120E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28EBEB2A" w14:textId="61B1E33C" w:rsidR="00ED6E89" w:rsidRPr="00513D3E" w:rsidRDefault="003B37B6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Welfare - IACUC</w:t>
            </w:r>
          </w:p>
        </w:tc>
        <w:tc>
          <w:tcPr>
            <w:tcW w:w="312" w:type="pct"/>
          </w:tcPr>
          <w:p w14:paraId="7DA98119" w14:textId="1F333730" w:rsidR="00ED6E89" w:rsidRPr="00513D3E" w:rsidRDefault="003B37B6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</w:tcPr>
          <w:p w14:paraId="6ACA89ED" w14:textId="6D30C649" w:rsidR="00ED6E89" w:rsidRPr="00513D3E" w:rsidRDefault="003B37B6" w:rsidP="00C222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of animals in research</w:t>
            </w:r>
          </w:p>
        </w:tc>
        <w:tc>
          <w:tcPr>
            <w:tcW w:w="1142" w:type="pct"/>
          </w:tcPr>
          <w:p w14:paraId="771A2E06" w14:textId="0835D31E" w:rsidR="00ED6E89" w:rsidRPr="00513D3E" w:rsidRDefault="003B37B6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42648FCB" w14:textId="77AA4EB2" w:rsidR="00ED6E89" w:rsidRPr="00513D3E" w:rsidRDefault="00756BE9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56BE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animalcompliance@tamu.edu, </w:t>
              </w:r>
            </w:hyperlink>
            <w:r w:rsidRPr="00756BE9">
              <w:rPr>
                <w:rFonts w:ascii="Arial" w:hAnsi="Arial" w:cs="Arial"/>
                <w:sz w:val="20"/>
                <w:szCs w:val="20"/>
              </w:rPr>
              <w:t>979.845.1828</w:t>
            </w:r>
          </w:p>
        </w:tc>
        <w:tc>
          <w:tcPr>
            <w:tcW w:w="1005" w:type="pct"/>
          </w:tcPr>
          <w:p w14:paraId="26ED4314" w14:textId="3BD6902F" w:rsidR="00ED6E89" w:rsidRPr="00513D3E" w:rsidRDefault="00756BE9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the Animal Welfare Office</w:t>
            </w:r>
          </w:p>
        </w:tc>
      </w:tr>
      <w:tr w:rsidR="00C22283" w:rsidRPr="00513D3E" w14:paraId="2B2BBEFF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4D5F2A4D" w14:textId="77777777" w:rsidR="00ED6E89" w:rsidRPr="00513D3E" w:rsidRDefault="00ED6E89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56E6AE47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6AB8BF9E" w14:textId="77777777" w:rsidR="00ED6E89" w:rsidRPr="00513D3E" w:rsidRDefault="00ED6E89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4C9C0AD5" w14:textId="77777777" w:rsidR="00ED6E89" w:rsidRPr="00513D3E" w:rsidRDefault="00ED6E89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9585F94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6E576E34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83" w:rsidRPr="00513D3E" w14:paraId="5B9BE0F0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4CEC3F1E" w14:textId="0359265D" w:rsidR="00ED6E89" w:rsidRPr="00513D3E" w:rsidRDefault="00756BE9" w:rsidP="00756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of In</w:t>
            </w:r>
            <w:r w:rsidR="00C22283">
              <w:rPr>
                <w:rFonts w:ascii="Arial" w:hAnsi="Arial" w:cs="Arial"/>
                <w:sz w:val="20"/>
                <w:szCs w:val="20"/>
              </w:rPr>
              <w:t>terest or Commitment</w:t>
            </w:r>
          </w:p>
        </w:tc>
        <w:tc>
          <w:tcPr>
            <w:tcW w:w="312" w:type="pct"/>
          </w:tcPr>
          <w:p w14:paraId="1E3E2D5B" w14:textId="04884DA8" w:rsidR="00ED6E89" w:rsidRPr="00513D3E" w:rsidRDefault="00C2228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</w:tcPr>
          <w:p w14:paraId="525EAC29" w14:textId="36478558" w:rsidR="00ED6E89" w:rsidRPr="00513D3E" w:rsidRDefault="00C22283" w:rsidP="00C222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Financial interest </w:t>
            </w:r>
            <w:r w:rsidR="00503064">
              <w:rPr>
                <w:rFonts w:ascii="Arial" w:eastAsia="Arial" w:hAnsi="Arial" w:cs="Arial"/>
                <w:sz w:val="20"/>
                <w:szCs w:val="20"/>
              </w:rPr>
              <w:t xml:space="preserve">or external employment </w:t>
            </w:r>
            <w:r>
              <w:rPr>
                <w:rFonts w:ascii="Arial" w:eastAsia="Arial" w:hAnsi="Arial" w:cs="Arial"/>
                <w:sz w:val="20"/>
                <w:szCs w:val="20"/>
              </w:rPr>
              <w:t>related to research</w:t>
            </w:r>
          </w:p>
        </w:tc>
        <w:tc>
          <w:tcPr>
            <w:tcW w:w="1142" w:type="pct"/>
          </w:tcPr>
          <w:p w14:paraId="14FF9244" w14:textId="7BF050FC" w:rsidR="00ED6E89" w:rsidRPr="00513D3E" w:rsidRDefault="00503064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784E7E0A" w14:textId="3FEA963C" w:rsidR="00ED6E89" w:rsidRDefault="00503064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2155B">
                <w:rPr>
                  <w:rStyle w:val="Hyperlink"/>
                  <w:rFonts w:ascii="Arial" w:hAnsi="Arial" w:cs="Arial"/>
                  <w:sz w:val="20"/>
                  <w:szCs w:val="20"/>
                </w:rPr>
                <w:t>coi@tamu.edu</w:t>
              </w:r>
            </w:hyperlink>
          </w:p>
          <w:p w14:paraId="2B9AE75D" w14:textId="316271A4" w:rsidR="00503064" w:rsidRPr="00513D3E" w:rsidRDefault="00503064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979.862.6419</w:t>
            </w:r>
          </w:p>
        </w:tc>
        <w:tc>
          <w:tcPr>
            <w:tcW w:w="1005" w:type="pct"/>
          </w:tcPr>
          <w:p w14:paraId="70AA9826" w14:textId="49E6E63D" w:rsidR="00ED6E89" w:rsidRPr="00513D3E" w:rsidRDefault="00503064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the Conflict of Interest Office</w:t>
            </w:r>
          </w:p>
        </w:tc>
      </w:tr>
      <w:tr w:rsidR="00C22283" w:rsidRPr="00513D3E" w14:paraId="39662736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49B4A20E" w14:textId="77777777" w:rsidR="00ED6E89" w:rsidRPr="00513D3E" w:rsidRDefault="00ED6E89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04997854"/>
          </w:p>
        </w:tc>
        <w:tc>
          <w:tcPr>
            <w:tcW w:w="312" w:type="pct"/>
          </w:tcPr>
          <w:p w14:paraId="31B9C5E2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3EE93DED" w14:textId="77777777" w:rsidR="00ED6E89" w:rsidRPr="00513D3E" w:rsidRDefault="00ED6E89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14F98A3D" w14:textId="77777777" w:rsidR="00ED6E89" w:rsidRPr="00513D3E" w:rsidRDefault="00ED6E89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438F12B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5788E280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83" w:rsidRPr="00513D3E" w14:paraId="6C8E54CF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3D64BF8B" w14:textId="75C1D828" w:rsidR="00ED6E89" w:rsidRPr="00513D3E" w:rsidRDefault="00503064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Privacy Office</w:t>
            </w:r>
          </w:p>
        </w:tc>
        <w:tc>
          <w:tcPr>
            <w:tcW w:w="312" w:type="pct"/>
          </w:tcPr>
          <w:p w14:paraId="5D151DFF" w14:textId="3AECCE95" w:rsidR="00ED6E89" w:rsidRPr="00513D3E" w:rsidRDefault="00503064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</w:tcPr>
          <w:p w14:paraId="0E2CAC10" w14:textId="6DC2C0B5" w:rsidR="00ED6E89" w:rsidRPr="00513D3E" w:rsidRDefault="00503064" w:rsidP="0050306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involves PHI, GDP</w:t>
            </w:r>
            <w:r w:rsidR="00795428"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FERPA</w:t>
            </w:r>
            <w:r w:rsidR="00795428">
              <w:rPr>
                <w:rFonts w:ascii="Arial" w:eastAsia="Arial" w:hAnsi="Arial" w:cs="Arial"/>
                <w:sz w:val="20"/>
                <w:szCs w:val="20"/>
              </w:rPr>
              <w:t xml:space="preserve"> or other sensitive data from external entities</w:t>
            </w:r>
          </w:p>
        </w:tc>
        <w:tc>
          <w:tcPr>
            <w:tcW w:w="1142" w:type="pct"/>
          </w:tcPr>
          <w:p w14:paraId="62D18EEB" w14:textId="778A3CAE" w:rsidR="00ED6E89" w:rsidRPr="00513D3E" w:rsidRDefault="00795428" w:rsidP="0079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73034AD7" w14:textId="53AEE514" w:rsidR="00125DBD" w:rsidRDefault="00125DBD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2155B">
                <w:rPr>
                  <w:rStyle w:val="Hyperlink"/>
                  <w:rFonts w:ascii="Arial" w:hAnsi="Arial" w:cs="Arial"/>
                  <w:sz w:val="20"/>
                  <w:szCs w:val="20"/>
                </w:rPr>
                <w:t>Privacy@tamu.edu</w:t>
              </w:r>
            </w:hyperlink>
          </w:p>
          <w:p w14:paraId="1C64B48D" w14:textId="407C1375" w:rsidR="00ED6E89" w:rsidRPr="00513D3E" w:rsidRDefault="00795428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979.845.9853</w:t>
            </w:r>
          </w:p>
        </w:tc>
        <w:tc>
          <w:tcPr>
            <w:tcW w:w="1005" w:type="pct"/>
          </w:tcPr>
          <w:p w14:paraId="5E6F3D44" w14:textId="60BFB476" w:rsidR="00ED6E89" w:rsidRPr="00513D3E" w:rsidRDefault="00795428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the Privacy Officer</w:t>
            </w:r>
          </w:p>
        </w:tc>
      </w:tr>
      <w:bookmarkEnd w:id="1"/>
      <w:tr w:rsidR="00C22283" w:rsidRPr="00513D3E" w14:paraId="21F3623A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72975CE2" w14:textId="77777777" w:rsidR="00ED6E89" w:rsidRPr="00513D3E" w:rsidRDefault="00ED6E89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33D33420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48838A5D" w14:textId="77777777" w:rsidR="00ED6E89" w:rsidRPr="00513D3E" w:rsidRDefault="00ED6E89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795FEA59" w14:textId="77777777" w:rsidR="00ED6E89" w:rsidRPr="00513D3E" w:rsidRDefault="00ED6E89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FAE4CFE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0CCCA570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83" w:rsidRPr="00513D3E" w14:paraId="7E7DFB02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41A77914" w14:textId="7C278A5E" w:rsidR="00ED6E89" w:rsidRPr="00513D3E" w:rsidRDefault="00125DBD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312" w:type="pct"/>
          </w:tcPr>
          <w:p w14:paraId="50DCCD5B" w14:textId="368E1617" w:rsidR="00ED6E89" w:rsidRPr="00513D3E" w:rsidRDefault="00125DBD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</w:tcPr>
          <w:p w14:paraId="41BEF4C6" w14:textId="2ED615F9" w:rsidR="00ED6E89" w:rsidRPr="00513D3E" w:rsidRDefault="00125DBD" w:rsidP="00125D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involves use of TAMU students or their data or records</w:t>
            </w:r>
          </w:p>
        </w:tc>
        <w:tc>
          <w:tcPr>
            <w:tcW w:w="1142" w:type="pct"/>
          </w:tcPr>
          <w:p w14:paraId="55C12C2A" w14:textId="6CE75E82" w:rsidR="00ED6E89" w:rsidRPr="00513D3E" w:rsidRDefault="00125DBD" w:rsidP="007B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DBD"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6EC83819" w14:textId="7382DE3A" w:rsidR="00ED6E89" w:rsidRPr="00513D3E" w:rsidRDefault="007B1375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22155B">
                <w:rPr>
                  <w:rStyle w:val="Hyperlink"/>
                  <w:rFonts w:ascii="Arial" w:hAnsi="Arial" w:cs="Arial"/>
                  <w:sz w:val="20"/>
                  <w:szCs w:val="20"/>
                </w:rPr>
                <w:t>ferpa@tamu.edu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979.845.1711</w:t>
            </w:r>
          </w:p>
        </w:tc>
        <w:tc>
          <w:tcPr>
            <w:tcW w:w="1005" w:type="pct"/>
          </w:tcPr>
          <w:p w14:paraId="121D060E" w14:textId="752C85DD" w:rsidR="00ED6E89" w:rsidRPr="00513D3E" w:rsidRDefault="007B1375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the Associate Registrar</w:t>
            </w:r>
          </w:p>
        </w:tc>
      </w:tr>
      <w:tr w:rsidR="00C22283" w:rsidRPr="00513D3E" w14:paraId="5F171E03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3B8ED92A" w14:textId="77777777" w:rsidR="00ED6E89" w:rsidRPr="00513D3E" w:rsidRDefault="00ED6E89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722DEA82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668A7DA7" w14:textId="77777777" w:rsidR="00ED6E89" w:rsidRPr="00513D3E" w:rsidRDefault="00ED6E89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A035664" w14:textId="77777777" w:rsidR="00ED6E89" w:rsidRPr="00513D3E" w:rsidRDefault="00ED6E89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D163BA8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8FB6323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83" w:rsidRPr="00513D3E" w14:paraId="66AD0D88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6072A436" w14:textId="2626862E" w:rsidR="00ED6E89" w:rsidRPr="00513D3E" w:rsidRDefault="007B1375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Administration</w:t>
            </w:r>
          </w:p>
        </w:tc>
        <w:tc>
          <w:tcPr>
            <w:tcW w:w="312" w:type="pct"/>
          </w:tcPr>
          <w:p w14:paraId="29129BB6" w14:textId="394F4596" w:rsidR="00ED6E89" w:rsidRPr="00513D3E" w:rsidRDefault="007B1375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Consult</w:t>
            </w:r>
          </w:p>
        </w:tc>
        <w:tc>
          <w:tcPr>
            <w:tcW w:w="843" w:type="pct"/>
          </w:tcPr>
          <w:p w14:paraId="49EC64C4" w14:textId="37F5E131" w:rsidR="00ED6E89" w:rsidRPr="00513D3E" w:rsidRDefault="007B1375" w:rsidP="007B137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Collaborative research needing MOU, MTA, DUA, CDA, etc.</w:t>
            </w:r>
          </w:p>
        </w:tc>
        <w:tc>
          <w:tcPr>
            <w:tcW w:w="1142" w:type="pct"/>
          </w:tcPr>
          <w:p w14:paraId="0CE29044" w14:textId="46851C48" w:rsidR="00ED6E89" w:rsidRPr="00513D3E" w:rsidRDefault="007B1375" w:rsidP="007B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DBD"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1882317C" w14:textId="4C6674E7" w:rsidR="00ED6E89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22155B">
                <w:rPr>
                  <w:rStyle w:val="Hyperlink"/>
                  <w:rFonts w:ascii="Arial" w:hAnsi="Arial" w:cs="Arial"/>
                  <w:sz w:val="20"/>
                  <w:szCs w:val="20"/>
                </w:rPr>
                <w:t>Negotiations@tamu.edu</w:t>
              </w:r>
            </w:hyperlink>
          </w:p>
          <w:p w14:paraId="6AC54B1B" w14:textId="2334EC22" w:rsidR="00546063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979.862.1769</w:t>
            </w:r>
          </w:p>
        </w:tc>
        <w:tc>
          <w:tcPr>
            <w:tcW w:w="1005" w:type="pct"/>
          </w:tcPr>
          <w:p w14:paraId="0D6BC82D" w14:textId="77777777" w:rsidR="00546063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  <w:p w14:paraId="2DDF32CF" w14:textId="1AE55CBE" w:rsidR="00546063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Administration</w:t>
            </w:r>
          </w:p>
        </w:tc>
      </w:tr>
      <w:tr w:rsidR="00C22283" w:rsidRPr="00513D3E" w14:paraId="134B03FC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6298889C" w14:textId="77777777" w:rsidR="00ED6E89" w:rsidRPr="00513D3E" w:rsidRDefault="00ED6E89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10BDBF96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5A6B9B15" w14:textId="77777777" w:rsidR="00ED6E89" w:rsidRPr="00513D3E" w:rsidRDefault="00ED6E89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D295A4E" w14:textId="77777777" w:rsidR="00ED6E89" w:rsidRPr="00513D3E" w:rsidRDefault="00ED6E89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67A4ED5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D2F1BD0" w14:textId="77777777" w:rsidR="00ED6E89" w:rsidRPr="00513D3E" w:rsidRDefault="00ED6E89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83" w:rsidRPr="00513D3E" w14:paraId="3ECF0E32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5F2AD155" w14:textId="45F8208C" w:rsidR="00ED6E89" w:rsidRPr="00513D3E" w:rsidRDefault="00546063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Radiation Safety</w:t>
            </w:r>
          </w:p>
        </w:tc>
        <w:tc>
          <w:tcPr>
            <w:tcW w:w="312" w:type="pct"/>
          </w:tcPr>
          <w:p w14:paraId="08AD9CAC" w14:textId="6F5AA438" w:rsidR="00ED6E89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Ad-hoc</w:t>
            </w:r>
          </w:p>
        </w:tc>
        <w:tc>
          <w:tcPr>
            <w:tcW w:w="843" w:type="pct"/>
          </w:tcPr>
          <w:p w14:paraId="07603074" w14:textId="4DFC1A00" w:rsidR="00ED6E89" w:rsidRPr="00513D3E" w:rsidRDefault="00546063" w:rsidP="005705E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involves radiation emitting devices or radioactive materials</w:t>
            </w:r>
          </w:p>
        </w:tc>
        <w:tc>
          <w:tcPr>
            <w:tcW w:w="1142" w:type="pct"/>
          </w:tcPr>
          <w:p w14:paraId="102F8DF0" w14:textId="18EA5BE5" w:rsidR="00ED6E89" w:rsidRPr="00513D3E" w:rsidRDefault="00546063" w:rsidP="00570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DBD">
              <w:rPr>
                <w:rFonts w:ascii="Arial" w:hAnsi="Arial" w:cs="Arial"/>
                <w:color w:val="000000"/>
                <w:sz w:val="20"/>
                <w:szCs w:val="20"/>
              </w:rPr>
              <w:t>Initial Applications &amp; Modifications to previously approved research</w:t>
            </w:r>
          </w:p>
        </w:tc>
        <w:tc>
          <w:tcPr>
            <w:tcW w:w="1010" w:type="pct"/>
          </w:tcPr>
          <w:p w14:paraId="0B64E1B8" w14:textId="37FBCEC3" w:rsidR="00ED6E89" w:rsidRPr="00546063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54606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radiological-safety@tamu.edu, </w:t>
              </w:r>
            </w:hyperlink>
            <w:r w:rsidRPr="00546063">
              <w:rPr>
                <w:rFonts w:ascii="Arial" w:hAnsi="Arial" w:cs="Arial"/>
                <w:sz w:val="20"/>
                <w:szCs w:val="20"/>
              </w:rPr>
              <w:t>979.845.1361</w:t>
            </w:r>
          </w:p>
        </w:tc>
        <w:tc>
          <w:tcPr>
            <w:tcW w:w="1005" w:type="pct"/>
          </w:tcPr>
          <w:p w14:paraId="383405CB" w14:textId="73D02123" w:rsidR="00ED6E89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705E0">
              <w:rPr>
                <w:rFonts w:ascii="Arial" w:hAnsi="Arial" w:cs="Arial"/>
                <w:sz w:val="20"/>
                <w:szCs w:val="20"/>
              </w:rPr>
              <w:t>Radiological Safety Office</w:t>
            </w:r>
          </w:p>
        </w:tc>
      </w:tr>
      <w:tr w:rsidR="00546063" w:rsidRPr="00513D3E" w14:paraId="0D740C88" w14:textId="77777777" w:rsidTr="00C2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6DE8FC00" w14:textId="77777777" w:rsidR="00546063" w:rsidRPr="00513D3E" w:rsidRDefault="00546063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1E186FA8" w14:textId="77777777" w:rsidR="00546063" w:rsidRPr="00513D3E" w:rsidRDefault="00546063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2A8049FD" w14:textId="77777777" w:rsidR="00546063" w:rsidRPr="00513D3E" w:rsidRDefault="00546063" w:rsidP="00C22283">
            <w:pPr>
              <w:pStyle w:val="ListParagraph"/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16A32D1A" w14:textId="77777777" w:rsidR="00546063" w:rsidRPr="00513D3E" w:rsidRDefault="00546063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D060F26" w14:textId="77777777" w:rsidR="00546063" w:rsidRPr="00513D3E" w:rsidRDefault="00546063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C7FC9F8" w14:textId="77777777" w:rsidR="00546063" w:rsidRPr="00513D3E" w:rsidRDefault="00546063" w:rsidP="00D1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063" w:rsidRPr="00513D3E" w14:paraId="4BCCE2F6" w14:textId="77777777" w:rsidTr="00C2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02ED8037" w14:textId="77777777" w:rsidR="00546063" w:rsidRPr="00513D3E" w:rsidRDefault="00546063" w:rsidP="00ED6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14:paraId="6C5C714E" w14:textId="77777777" w:rsidR="00546063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3173A770" w14:textId="77777777" w:rsidR="00546063" w:rsidRPr="00513D3E" w:rsidRDefault="00546063" w:rsidP="00C22283">
            <w:pPr>
              <w:pStyle w:val="ListParagraph"/>
              <w:ind w:left="3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3CEB4609" w14:textId="77777777" w:rsidR="00546063" w:rsidRPr="00513D3E" w:rsidRDefault="00546063" w:rsidP="005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8EA92A6" w14:textId="77777777" w:rsidR="00546063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</w:tcPr>
          <w:p w14:paraId="4A08B9CE" w14:textId="77777777" w:rsidR="00546063" w:rsidRPr="00513D3E" w:rsidRDefault="00546063" w:rsidP="00D1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8AA4B" w14:textId="77777777" w:rsidR="003230B0" w:rsidRDefault="003230B0">
      <w:pPr>
        <w:rPr>
          <w:rFonts w:ascii="Arial" w:hAnsi="Arial" w:cs="Arial"/>
          <w:sz w:val="20"/>
          <w:szCs w:val="20"/>
        </w:rPr>
      </w:pPr>
    </w:p>
    <w:sectPr w:rsidR="003230B0" w:rsidSect="002B22B9">
      <w:headerReference w:type="default" r:id="rId18"/>
      <w:footerReference w:type="default" r:id="rId19"/>
      <w:pgSz w:w="15840" w:h="12240" w:orient="landscape"/>
      <w:pgMar w:top="720" w:right="720" w:bottom="720" w:left="720" w:header="72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0A09" w14:textId="77777777" w:rsidR="00497021" w:rsidRDefault="00497021" w:rsidP="007A6206">
      <w:pPr>
        <w:spacing w:after="0" w:line="240" w:lineRule="auto"/>
      </w:pPr>
      <w:r>
        <w:separator/>
      </w:r>
    </w:p>
  </w:endnote>
  <w:endnote w:type="continuationSeparator" w:id="0">
    <w:p w14:paraId="7D4DBD15" w14:textId="77777777" w:rsidR="00497021" w:rsidRDefault="00497021" w:rsidP="007A6206">
      <w:pPr>
        <w:spacing w:after="0" w:line="240" w:lineRule="auto"/>
      </w:pPr>
      <w:r>
        <w:continuationSeparator/>
      </w:r>
    </w:p>
  </w:endnote>
  <w:endnote w:type="continuationNotice" w:id="1">
    <w:p w14:paraId="1F962DA4" w14:textId="77777777" w:rsidR="00100196" w:rsidRDefault="00100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E6D" w14:textId="555F740E" w:rsidR="00C60080" w:rsidRPr="00C60080" w:rsidRDefault="00E02259" w:rsidP="00C60080">
    <w:pPr>
      <w:pStyle w:val="SOPFooter"/>
      <w:tabs>
        <w:tab w:val="right" w:pos="144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BD18" w14:textId="77777777" w:rsidR="00497021" w:rsidRDefault="00497021" w:rsidP="007A6206">
      <w:pPr>
        <w:spacing w:after="0" w:line="240" w:lineRule="auto"/>
      </w:pPr>
      <w:r>
        <w:separator/>
      </w:r>
    </w:p>
  </w:footnote>
  <w:footnote w:type="continuationSeparator" w:id="0">
    <w:p w14:paraId="1FBABFD3" w14:textId="77777777" w:rsidR="00497021" w:rsidRDefault="00497021" w:rsidP="007A6206">
      <w:pPr>
        <w:spacing w:after="0" w:line="240" w:lineRule="auto"/>
      </w:pPr>
      <w:r>
        <w:continuationSeparator/>
      </w:r>
    </w:p>
  </w:footnote>
  <w:footnote w:type="continuationNotice" w:id="1">
    <w:p w14:paraId="5992B24B" w14:textId="77777777" w:rsidR="00100196" w:rsidRDefault="00100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5136"/>
      <w:gridCol w:w="3201"/>
      <w:gridCol w:w="3016"/>
      <w:gridCol w:w="3056"/>
    </w:tblGrid>
    <w:tr w:rsidR="00C60080" w14:paraId="0864159E" w14:textId="77777777" w:rsidTr="00C60080">
      <w:trPr>
        <w:cantSplit/>
        <w:trHeight w:val="260"/>
      </w:trPr>
      <w:tc>
        <w:tcPr>
          <w:tcW w:w="51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C1CCF2" w14:textId="46A5DEBB" w:rsidR="00C60080" w:rsidRDefault="00CD061A" w:rsidP="00C60080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367AB3">
            <w:rPr>
              <w:rFonts w:ascii="Arial" w:eastAsiaTheme="minorHAnsi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45E997A" wp14:editId="2FBD0F94">
                <wp:simplePos x="0" y="0"/>
                <wp:positionH relativeFrom="column">
                  <wp:posOffset>693420</wp:posOffset>
                </wp:positionH>
                <wp:positionV relativeFrom="paragraph">
                  <wp:posOffset>-36195</wp:posOffset>
                </wp:positionV>
                <wp:extent cx="1685925" cy="455295"/>
                <wp:effectExtent l="0" t="0" r="9525" b="190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2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05D32" w14:textId="77777777" w:rsidR="00C60080" w:rsidRDefault="00C60080" w:rsidP="00C60080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09730D"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</w:rPr>
            <w:t>Ancillary Review Matrix</w:t>
          </w:r>
        </w:p>
      </w:tc>
    </w:tr>
    <w:tr w:rsidR="00C60080" w14:paraId="60B3A176" w14:textId="77777777" w:rsidTr="00C6008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29E08B2" w14:textId="77777777" w:rsidR="00C60080" w:rsidRDefault="00C60080" w:rsidP="00C60080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3C05448" w14:textId="77777777" w:rsidR="00C60080" w:rsidRDefault="00C60080" w:rsidP="00C60080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46E09CE" w14:textId="77777777" w:rsidR="00C60080" w:rsidRDefault="00C60080" w:rsidP="00C60080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C7ADE6D" w14:textId="77777777" w:rsidR="00C60080" w:rsidRDefault="00C60080" w:rsidP="00C60080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60080" w14:paraId="3B6727A3" w14:textId="77777777" w:rsidTr="00C6008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6462910" w14:textId="77777777" w:rsidR="00C60080" w:rsidRDefault="00C60080" w:rsidP="00C60080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CA22960" w14:textId="77777777" w:rsidR="00C60080" w:rsidRDefault="00C60080" w:rsidP="00C60080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HRP-309</w:t>
          </w:r>
        </w:p>
      </w:tc>
      <w:tc>
        <w:tcPr>
          <w:tcW w:w="3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41A0431" w14:textId="2A5C7B62" w:rsidR="00C60080" w:rsidRDefault="0046089B" w:rsidP="00C60080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3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51FAE1B" w14:textId="77777777" w:rsidR="00C60080" w:rsidRDefault="00C60080" w:rsidP="00C60080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F8A3CE3" w14:textId="77777777" w:rsidR="00DC288A" w:rsidRDefault="00DC2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6B2"/>
    <w:multiLevelType w:val="hybridMultilevel"/>
    <w:tmpl w:val="FDFC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4BDD"/>
    <w:multiLevelType w:val="hybridMultilevel"/>
    <w:tmpl w:val="681E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8C3"/>
    <w:multiLevelType w:val="hybridMultilevel"/>
    <w:tmpl w:val="24A422C4"/>
    <w:lvl w:ilvl="0" w:tplc="03EA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2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E5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6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CA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2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A0D93"/>
    <w:multiLevelType w:val="hybridMultilevel"/>
    <w:tmpl w:val="F3DA9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24980"/>
    <w:multiLevelType w:val="hybridMultilevel"/>
    <w:tmpl w:val="10B0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83863"/>
    <w:multiLevelType w:val="multilevel"/>
    <w:tmpl w:val="F050D75C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CE08F5"/>
    <w:multiLevelType w:val="hybridMultilevel"/>
    <w:tmpl w:val="8E5E5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F15FD"/>
    <w:multiLevelType w:val="multilevel"/>
    <w:tmpl w:val="9782CCB6"/>
    <w:lvl w:ilvl="0">
      <w:start w:val="61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C76FF1"/>
    <w:multiLevelType w:val="hybridMultilevel"/>
    <w:tmpl w:val="8E5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CEC"/>
    <w:multiLevelType w:val="multilevel"/>
    <w:tmpl w:val="81B207C0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FB7F0F"/>
    <w:multiLevelType w:val="hybridMultilevel"/>
    <w:tmpl w:val="69FEA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90D5F"/>
    <w:multiLevelType w:val="multilevel"/>
    <w:tmpl w:val="59A0D1A8"/>
    <w:lvl w:ilvl="0">
      <w:start w:val="61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6A6E32"/>
    <w:multiLevelType w:val="multilevel"/>
    <w:tmpl w:val="9F7246C0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F74F59"/>
    <w:multiLevelType w:val="hybridMultilevel"/>
    <w:tmpl w:val="31E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2F23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2570"/>
    <w:multiLevelType w:val="multilevel"/>
    <w:tmpl w:val="EA102796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6B3F27"/>
    <w:multiLevelType w:val="hybridMultilevel"/>
    <w:tmpl w:val="D59E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5183E"/>
    <w:multiLevelType w:val="multilevel"/>
    <w:tmpl w:val="7C6C9C14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9D0426"/>
    <w:multiLevelType w:val="hybridMultilevel"/>
    <w:tmpl w:val="CF546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4084"/>
    <w:multiLevelType w:val="hybridMultilevel"/>
    <w:tmpl w:val="7AC2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61321"/>
    <w:multiLevelType w:val="hybridMultilevel"/>
    <w:tmpl w:val="10C6B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F519C"/>
    <w:multiLevelType w:val="multilevel"/>
    <w:tmpl w:val="40CE6D54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637267E"/>
    <w:multiLevelType w:val="multilevel"/>
    <w:tmpl w:val="E5FA4092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993846"/>
    <w:multiLevelType w:val="multilevel"/>
    <w:tmpl w:val="32204FF6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006CB0"/>
    <w:multiLevelType w:val="hybridMultilevel"/>
    <w:tmpl w:val="ED64C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3223C"/>
    <w:multiLevelType w:val="hybridMultilevel"/>
    <w:tmpl w:val="037A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C6874"/>
    <w:multiLevelType w:val="hybridMultilevel"/>
    <w:tmpl w:val="E84E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34206"/>
    <w:multiLevelType w:val="hybridMultilevel"/>
    <w:tmpl w:val="358A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CC3D08"/>
    <w:multiLevelType w:val="multilevel"/>
    <w:tmpl w:val="2EE2ED68"/>
    <w:lvl w:ilvl="0">
      <w:start w:val="61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D166D1"/>
    <w:multiLevelType w:val="multilevel"/>
    <w:tmpl w:val="53F43DD8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BE179A"/>
    <w:multiLevelType w:val="multilevel"/>
    <w:tmpl w:val="48A0779E"/>
    <w:lvl w:ilvl="0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1442C0"/>
    <w:multiLevelType w:val="hybridMultilevel"/>
    <w:tmpl w:val="1FE05046"/>
    <w:lvl w:ilvl="0" w:tplc="040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2035227952">
    <w:abstractNumId w:val="7"/>
  </w:num>
  <w:num w:numId="2" w16cid:durableId="639923280">
    <w:abstractNumId w:val="27"/>
  </w:num>
  <w:num w:numId="3" w16cid:durableId="676539174">
    <w:abstractNumId w:val="11"/>
  </w:num>
  <w:num w:numId="4" w16cid:durableId="743337250">
    <w:abstractNumId w:val="21"/>
  </w:num>
  <w:num w:numId="5" w16cid:durableId="284240967">
    <w:abstractNumId w:val="12"/>
  </w:num>
  <w:num w:numId="6" w16cid:durableId="1658532929">
    <w:abstractNumId w:val="20"/>
  </w:num>
  <w:num w:numId="7" w16cid:durableId="1794057606">
    <w:abstractNumId w:val="16"/>
  </w:num>
  <w:num w:numId="8" w16cid:durableId="80610800">
    <w:abstractNumId w:val="5"/>
  </w:num>
  <w:num w:numId="9" w16cid:durableId="639068712">
    <w:abstractNumId w:val="14"/>
  </w:num>
  <w:num w:numId="10" w16cid:durableId="1543322996">
    <w:abstractNumId w:val="29"/>
  </w:num>
  <w:num w:numId="11" w16cid:durableId="113864777">
    <w:abstractNumId w:val="9"/>
  </w:num>
  <w:num w:numId="12" w16cid:durableId="1936013897">
    <w:abstractNumId w:val="22"/>
  </w:num>
  <w:num w:numId="13" w16cid:durableId="1081680841">
    <w:abstractNumId w:val="28"/>
  </w:num>
  <w:num w:numId="14" w16cid:durableId="890846875">
    <w:abstractNumId w:val="13"/>
  </w:num>
  <w:num w:numId="15" w16cid:durableId="1303273819">
    <w:abstractNumId w:val="8"/>
  </w:num>
  <w:num w:numId="16" w16cid:durableId="129059193">
    <w:abstractNumId w:val="10"/>
  </w:num>
  <w:num w:numId="17" w16cid:durableId="1979067475">
    <w:abstractNumId w:val="3"/>
  </w:num>
  <w:num w:numId="18" w16cid:durableId="1622885324">
    <w:abstractNumId w:val="6"/>
  </w:num>
  <w:num w:numId="19" w16cid:durableId="569459485">
    <w:abstractNumId w:val="24"/>
  </w:num>
  <w:num w:numId="20" w16cid:durableId="672759141">
    <w:abstractNumId w:val="18"/>
  </w:num>
  <w:num w:numId="21" w16cid:durableId="442043838">
    <w:abstractNumId w:val="25"/>
  </w:num>
  <w:num w:numId="22" w16cid:durableId="2107800362">
    <w:abstractNumId w:val="4"/>
  </w:num>
  <w:num w:numId="23" w16cid:durableId="1957054685">
    <w:abstractNumId w:val="0"/>
  </w:num>
  <w:num w:numId="24" w16cid:durableId="2076121185">
    <w:abstractNumId w:val="26"/>
  </w:num>
  <w:num w:numId="25" w16cid:durableId="452745609">
    <w:abstractNumId w:val="15"/>
  </w:num>
  <w:num w:numId="26" w16cid:durableId="1934045952">
    <w:abstractNumId w:val="30"/>
  </w:num>
  <w:num w:numId="27" w16cid:durableId="1870948047">
    <w:abstractNumId w:val="23"/>
  </w:num>
  <w:num w:numId="28" w16cid:durableId="825829146">
    <w:abstractNumId w:val="19"/>
  </w:num>
  <w:num w:numId="29" w16cid:durableId="1708261740">
    <w:abstractNumId w:val="1"/>
  </w:num>
  <w:num w:numId="30" w16cid:durableId="1812139529">
    <w:abstractNumId w:val="17"/>
  </w:num>
  <w:num w:numId="31" w16cid:durableId="210745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06"/>
    <w:rsid w:val="00005626"/>
    <w:rsid w:val="0001272D"/>
    <w:rsid w:val="00012E8B"/>
    <w:rsid w:val="00014C34"/>
    <w:rsid w:val="00026B46"/>
    <w:rsid w:val="00043748"/>
    <w:rsid w:val="00063FB2"/>
    <w:rsid w:val="000654D9"/>
    <w:rsid w:val="0007295B"/>
    <w:rsid w:val="00083156"/>
    <w:rsid w:val="00083E67"/>
    <w:rsid w:val="000A4B22"/>
    <w:rsid w:val="000A7D52"/>
    <w:rsid w:val="000B10F8"/>
    <w:rsid w:val="000B2C8D"/>
    <w:rsid w:val="000B3304"/>
    <w:rsid w:val="000C4431"/>
    <w:rsid w:val="000E3625"/>
    <w:rsid w:val="000E6284"/>
    <w:rsid w:val="000F422C"/>
    <w:rsid w:val="00100196"/>
    <w:rsid w:val="0010785F"/>
    <w:rsid w:val="00113CD2"/>
    <w:rsid w:val="00125DBD"/>
    <w:rsid w:val="001271B4"/>
    <w:rsid w:val="00136FC9"/>
    <w:rsid w:val="00150AE2"/>
    <w:rsid w:val="001631D2"/>
    <w:rsid w:val="001C43DB"/>
    <w:rsid w:val="001E79F9"/>
    <w:rsid w:val="001F4363"/>
    <w:rsid w:val="00203E35"/>
    <w:rsid w:val="00210152"/>
    <w:rsid w:val="002114DA"/>
    <w:rsid w:val="00214282"/>
    <w:rsid w:val="00220E6F"/>
    <w:rsid w:val="00265DC0"/>
    <w:rsid w:val="00285A01"/>
    <w:rsid w:val="002907B1"/>
    <w:rsid w:val="002B22B9"/>
    <w:rsid w:val="002D38A4"/>
    <w:rsid w:val="002E2D93"/>
    <w:rsid w:val="002F7403"/>
    <w:rsid w:val="00306B85"/>
    <w:rsid w:val="003230B0"/>
    <w:rsid w:val="00356B53"/>
    <w:rsid w:val="003627AC"/>
    <w:rsid w:val="00366911"/>
    <w:rsid w:val="00394980"/>
    <w:rsid w:val="003B37B6"/>
    <w:rsid w:val="003D349E"/>
    <w:rsid w:val="003F3116"/>
    <w:rsid w:val="004029C4"/>
    <w:rsid w:val="004114B1"/>
    <w:rsid w:val="004479FD"/>
    <w:rsid w:val="00447EF8"/>
    <w:rsid w:val="0046089B"/>
    <w:rsid w:val="00460F3A"/>
    <w:rsid w:val="00497021"/>
    <w:rsid w:val="004A7B44"/>
    <w:rsid w:val="004C00E3"/>
    <w:rsid w:val="004C17FA"/>
    <w:rsid w:val="004C7E53"/>
    <w:rsid w:val="00503064"/>
    <w:rsid w:val="00513D3E"/>
    <w:rsid w:val="00524326"/>
    <w:rsid w:val="00540D91"/>
    <w:rsid w:val="00544A62"/>
    <w:rsid w:val="00546063"/>
    <w:rsid w:val="005705E0"/>
    <w:rsid w:val="00584612"/>
    <w:rsid w:val="005B6A25"/>
    <w:rsid w:val="005C26EB"/>
    <w:rsid w:val="005D7112"/>
    <w:rsid w:val="0063143A"/>
    <w:rsid w:val="00665B2D"/>
    <w:rsid w:val="00670CEC"/>
    <w:rsid w:val="006748CD"/>
    <w:rsid w:val="00694D43"/>
    <w:rsid w:val="00697A09"/>
    <w:rsid w:val="006B2D2C"/>
    <w:rsid w:val="006C2F92"/>
    <w:rsid w:val="006C74B9"/>
    <w:rsid w:val="006E390D"/>
    <w:rsid w:val="006F2303"/>
    <w:rsid w:val="00730925"/>
    <w:rsid w:val="00734092"/>
    <w:rsid w:val="00734FEC"/>
    <w:rsid w:val="00756752"/>
    <w:rsid w:val="00756BE9"/>
    <w:rsid w:val="007654C6"/>
    <w:rsid w:val="00773757"/>
    <w:rsid w:val="00774B70"/>
    <w:rsid w:val="00795428"/>
    <w:rsid w:val="007A6206"/>
    <w:rsid w:val="007A6987"/>
    <w:rsid w:val="007A6FBF"/>
    <w:rsid w:val="007B10F1"/>
    <w:rsid w:val="007B1375"/>
    <w:rsid w:val="007D0F37"/>
    <w:rsid w:val="007D2F06"/>
    <w:rsid w:val="007D4AAE"/>
    <w:rsid w:val="007F1416"/>
    <w:rsid w:val="007F32F1"/>
    <w:rsid w:val="0082097A"/>
    <w:rsid w:val="00821DC3"/>
    <w:rsid w:val="00840660"/>
    <w:rsid w:val="008947B5"/>
    <w:rsid w:val="008C7C17"/>
    <w:rsid w:val="008D75A5"/>
    <w:rsid w:val="00916128"/>
    <w:rsid w:val="009326D1"/>
    <w:rsid w:val="009332D1"/>
    <w:rsid w:val="00966911"/>
    <w:rsid w:val="009819DB"/>
    <w:rsid w:val="009E2062"/>
    <w:rsid w:val="00A0049F"/>
    <w:rsid w:val="00A2785D"/>
    <w:rsid w:val="00A42D98"/>
    <w:rsid w:val="00A470EA"/>
    <w:rsid w:val="00A54769"/>
    <w:rsid w:val="00A96A4A"/>
    <w:rsid w:val="00AC2968"/>
    <w:rsid w:val="00AD0938"/>
    <w:rsid w:val="00AD3AE2"/>
    <w:rsid w:val="00B117D6"/>
    <w:rsid w:val="00B436F6"/>
    <w:rsid w:val="00B81D1E"/>
    <w:rsid w:val="00B843C8"/>
    <w:rsid w:val="00B84EF7"/>
    <w:rsid w:val="00B92699"/>
    <w:rsid w:val="00BB090F"/>
    <w:rsid w:val="00C1605E"/>
    <w:rsid w:val="00C22283"/>
    <w:rsid w:val="00C246F2"/>
    <w:rsid w:val="00C413F7"/>
    <w:rsid w:val="00C416A0"/>
    <w:rsid w:val="00C50103"/>
    <w:rsid w:val="00C5255F"/>
    <w:rsid w:val="00C52C33"/>
    <w:rsid w:val="00C60080"/>
    <w:rsid w:val="00C66733"/>
    <w:rsid w:val="00C90F1E"/>
    <w:rsid w:val="00C9499B"/>
    <w:rsid w:val="00CD061A"/>
    <w:rsid w:val="00CD3FF9"/>
    <w:rsid w:val="00CD4DF3"/>
    <w:rsid w:val="00CF1AC5"/>
    <w:rsid w:val="00CF2291"/>
    <w:rsid w:val="00D07A66"/>
    <w:rsid w:val="00D1067B"/>
    <w:rsid w:val="00D479B2"/>
    <w:rsid w:val="00D7775D"/>
    <w:rsid w:val="00D9735C"/>
    <w:rsid w:val="00DA3BB2"/>
    <w:rsid w:val="00DC288A"/>
    <w:rsid w:val="00DF665D"/>
    <w:rsid w:val="00E02259"/>
    <w:rsid w:val="00E23D04"/>
    <w:rsid w:val="00E26784"/>
    <w:rsid w:val="00E332EA"/>
    <w:rsid w:val="00E433B9"/>
    <w:rsid w:val="00E4382C"/>
    <w:rsid w:val="00E46C7D"/>
    <w:rsid w:val="00E66CF3"/>
    <w:rsid w:val="00E67661"/>
    <w:rsid w:val="00E81F6A"/>
    <w:rsid w:val="00EA229B"/>
    <w:rsid w:val="00EB4C12"/>
    <w:rsid w:val="00EC49BC"/>
    <w:rsid w:val="00ED6E89"/>
    <w:rsid w:val="00EE09C1"/>
    <w:rsid w:val="00EE302F"/>
    <w:rsid w:val="00EE69B3"/>
    <w:rsid w:val="00EF30AB"/>
    <w:rsid w:val="00F0400B"/>
    <w:rsid w:val="00F27109"/>
    <w:rsid w:val="00F42E32"/>
    <w:rsid w:val="00F516D8"/>
    <w:rsid w:val="00F5776A"/>
    <w:rsid w:val="00F61B5F"/>
    <w:rsid w:val="00F64233"/>
    <w:rsid w:val="00F73A78"/>
    <w:rsid w:val="00F77EA5"/>
    <w:rsid w:val="00F80FEC"/>
    <w:rsid w:val="00FB18A7"/>
    <w:rsid w:val="00FE14CA"/>
    <w:rsid w:val="014544A9"/>
    <w:rsid w:val="10DADD69"/>
    <w:rsid w:val="126766A7"/>
    <w:rsid w:val="1558629B"/>
    <w:rsid w:val="159EC86E"/>
    <w:rsid w:val="1AA5185C"/>
    <w:rsid w:val="1C4C51C7"/>
    <w:rsid w:val="1DA903B9"/>
    <w:rsid w:val="260558FC"/>
    <w:rsid w:val="28BAC695"/>
    <w:rsid w:val="2D1C0B90"/>
    <w:rsid w:val="31051B10"/>
    <w:rsid w:val="320DE79A"/>
    <w:rsid w:val="3B1DC950"/>
    <w:rsid w:val="434078BB"/>
    <w:rsid w:val="45864301"/>
    <w:rsid w:val="4F132D44"/>
    <w:rsid w:val="4F7514D3"/>
    <w:rsid w:val="5256DB53"/>
    <w:rsid w:val="547DB5EE"/>
    <w:rsid w:val="55CC9768"/>
    <w:rsid w:val="6B1E85F3"/>
    <w:rsid w:val="7069E4BA"/>
    <w:rsid w:val="776B56C8"/>
    <w:rsid w:val="78585812"/>
    <w:rsid w:val="7D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E6DF89"/>
  <w15:chartTrackingRefBased/>
  <w15:docId w15:val="{8DEF45DA-A2C6-42ED-8E39-BB60C2F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605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0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06"/>
    <w:rPr>
      <w:rFonts w:ascii="Calibri" w:eastAsia="Calibri" w:hAnsi="Calibri" w:cs="Calibri"/>
    </w:rPr>
  </w:style>
  <w:style w:type="character" w:customStyle="1" w:styleId="SOPLeader">
    <w:name w:val="SOP Leader"/>
    <w:rsid w:val="007A620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A6206"/>
    <w:pPr>
      <w:spacing w:after="0" w:line="240" w:lineRule="auto"/>
    </w:pPr>
    <w:rPr>
      <w:rFonts w:eastAsia="Times New Roman" w:cs="Tahoma"/>
      <w:sz w:val="24"/>
      <w:szCs w:val="20"/>
    </w:rPr>
  </w:style>
  <w:style w:type="paragraph" w:customStyle="1" w:styleId="SOPTableHeader">
    <w:name w:val="SOP Table Header"/>
    <w:basedOn w:val="Normal"/>
    <w:rsid w:val="007A6206"/>
    <w:pPr>
      <w:spacing w:after="0" w:line="240" w:lineRule="auto"/>
      <w:jc w:val="center"/>
    </w:pPr>
    <w:rPr>
      <w:rFonts w:eastAsia="Times New Roman" w:cs="Tahoma"/>
      <w:sz w:val="20"/>
      <w:szCs w:val="20"/>
    </w:rPr>
  </w:style>
  <w:style w:type="paragraph" w:customStyle="1" w:styleId="SOPTableEntry">
    <w:name w:val="SOP Table Entry"/>
    <w:basedOn w:val="SOPTableHeader"/>
    <w:rsid w:val="007A6206"/>
    <w:rPr>
      <w:sz w:val="18"/>
    </w:rPr>
  </w:style>
  <w:style w:type="character" w:styleId="Hyperlink">
    <w:name w:val="Hyperlink"/>
    <w:basedOn w:val="DefaultParagraphFont"/>
    <w:uiPriority w:val="99"/>
    <w:unhideWhenUsed/>
    <w:rsid w:val="002B22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2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3A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4B9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356B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356B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356B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82097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on">
    <w:name w:val="Revision"/>
    <w:hidden/>
    <w:uiPriority w:val="99"/>
    <w:semiHidden/>
    <w:rsid w:val="00F77EA5"/>
    <w:pPr>
      <w:spacing w:after="0" w:line="240" w:lineRule="auto"/>
    </w:pPr>
    <w:rPr>
      <w:rFonts w:ascii="Calibri" w:eastAsia="Calibri" w:hAnsi="Calibri" w:cs="Calibri"/>
    </w:rPr>
  </w:style>
  <w:style w:type="table" w:styleId="GridTable2">
    <w:name w:val="Grid Table 2"/>
    <w:basedOn w:val="TableNormal"/>
    <w:uiPriority w:val="47"/>
    <w:rsid w:val="009819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F6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4B1"/>
    <w:rPr>
      <w:color w:val="954F72" w:themeColor="followedHyperlink"/>
      <w:u w:val="single"/>
    </w:rPr>
  </w:style>
  <w:style w:type="paragraph" w:customStyle="1" w:styleId="SOPFooter">
    <w:name w:val="SOP Footer"/>
    <w:basedOn w:val="Normal"/>
    <w:rsid w:val="00C60080"/>
    <w:pPr>
      <w:jc w:val="center"/>
    </w:pPr>
    <w:rPr>
      <w:rFonts w:asciiTheme="minorHAnsi" w:eastAsiaTheme="minorHAnsi" w:hAnsiTheme="minorHAnsi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59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01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8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i@tamu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nimalcompliance@tamu.edu" TargetMode="External"/><Relationship Id="rId17" Type="http://schemas.openxmlformats.org/officeDocument/2006/relationships/hyperlink" Target="mailto:radiological-safety@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gotiations@tam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bc@tamu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ferpa@tamu.edu" TargetMode="External"/><Relationship Id="rId10" Type="http://schemas.openxmlformats.org/officeDocument/2006/relationships/hyperlink" Target="mailto:exportcontrols@tamu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acy@tam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5BA9-D77D-4867-A29C-35B8F9E67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2E63D-F54F-4CAB-B3CD-174852371B01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8c515ec7-3e6c-4e38-8eb4-62fcbe95786e"/>
    <ds:schemaRef ds:uri="http://purl.org/dc/elements/1.1/"/>
    <ds:schemaRef ds:uri="07b1ed27-4a09-479f-8bd2-5a0f6f9bbe93"/>
  </ds:schemaRefs>
</ds:datastoreItem>
</file>

<file path=customXml/itemProps3.xml><?xml version="1.0" encoding="utf-8"?>
<ds:datastoreItem xmlns:ds="http://schemas.openxmlformats.org/officeDocument/2006/customXml" ds:itemID="{3B6BAB26-9278-4F40-9477-68200483E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</dc:creator>
  <cp:keywords/>
  <dc:description/>
  <cp:lastModifiedBy>IRB</cp:lastModifiedBy>
  <cp:revision>6</cp:revision>
  <dcterms:created xsi:type="dcterms:W3CDTF">2022-04-11T02:02:00Z</dcterms:created>
  <dcterms:modified xsi:type="dcterms:W3CDTF">2022-06-01T23:05:00Z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